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ind w:left="5670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ascii="Times New Roman" w:hAnsi="Times New Roman" w:cs="Times New Roman"/>
          <w:b w:val="false"/>
          <w:sz w:val="28"/>
          <w:szCs w:val="28"/>
          <w:lang w:val="uk-UA"/>
        </w:rPr>
        <w:t xml:space="preserve">Додаток 2</w:t>
      </w:r>
      <w:r>
        <w:rPr>
          <w:b w:val="false"/>
        </w:rPr>
      </w:r>
      <w:r/>
    </w:p>
    <w:p>
      <w:pPr>
        <w:ind w:left="5670"/>
        <w:jc w:val="both"/>
        <w:spacing w:lineRule="auto" w:line="240" w:after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ascii="Times New Roman" w:hAnsi="Times New Roman" w:cs="Times New Roman"/>
          <w:b w:val="false"/>
          <w:sz w:val="28"/>
          <w:szCs w:val="28"/>
          <w:lang w:val="uk-UA"/>
        </w:rPr>
        <w:t xml:space="preserve">до рішення ___ сесії восьмого скликання Менської міської ради </w:t>
      </w:r>
      <w:r>
        <w:rPr>
          <w:rFonts w:ascii="Times New Roman" w:hAnsi="Times New Roman" w:cs="Times New Roman"/>
          <w:b w:val="false"/>
          <w:sz w:val="28"/>
          <w:szCs w:val="28"/>
          <w:lang w:val="uk-UA"/>
        </w:rPr>
        <w:t xml:space="preserve">__.__.2022 №___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</w:rPr>
        <w:t xml:space="preserve">«Про затвердження Правил розміщення зовнішньої реклами на території Менської міської територіальної громади</w:t>
      </w:r>
      <w:r>
        <w:rPr>
          <w:rFonts w:ascii="Times New Roman" w:hAnsi="Times New Roman" w:cs="Times New Roman"/>
          <w:b w:val="false"/>
          <w:sz w:val="28"/>
          <w:szCs w:val="28"/>
          <w:highlight w:val="none"/>
          <w:lang w:val="uk-UA"/>
        </w:rPr>
        <w:t xml:space="preserve">”</w:t>
      </w:r>
      <w:r>
        <w:rPr>
          <w:rFonts w:ascii="Times New Roman" w:hAnsi="Times New Roman" w:cs="Times New Roman"/>
          <w:b w:val="false"/>
          <w:sz w:val="28"/>
          <w:szCs w:val="28"/>
          <w:highlight w:val="none"/>
          <w:lang w:val="uk-UA"/>
        </w:rPr>
      </w:r>
      <w:r/>
    </w:p>
    <w:p>
      <w:pPr>
        <w:pStyle w:val="846"/>
        <w:ind w:left="5670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46"/>
        <w:ind w:left="0"/>
        <w:jc w:val="center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/>
    </w:p>
    <w:p>
      <w:pPr>
        <w:pStyle w:val="846"/>
        <w:ind w:left="0"/>
        <w:jc w:val="center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розміру плати за тимчасове користування місцем розташування рекламних засобів, що перебуває у комунальній власності Менської міської територіальної громади</w:t>
      </w:r>
      <w:r/>
    </w:p>
    <w:p>
      <w:pPr>
        <w:pStyle w:val="846"/>
        <w:ind w:left="0"/>
        <w:jc w:val="center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за право тимчасового користування місцем для розташування рекламних засобів, що перебуває у комунальній власності, складається з базових тарифів для спеціальних конструкцій зовнішньої реклами, які розміщенні на комунальній власності громади (табл. 1),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коригуючих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коефіцієнтів диференціації базового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тарифу (табл. 2), на які послідовно перемножуєт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ься базовий тариф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pStyle w:val="846"/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 плати за право тимчасового користування місцем для розташування рекламного засобу розраховується в залежності від площі місця, на якому розташований рекламний засіб.</w:t>
      </w:r>
      <w:r/>
    </w:p>
    <w:p>
      <w:pPr>
        <w:pStyle w:val="846"/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0,5 м за периметром горизонтальної проекції цього засобу.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неназемного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надахового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рекламного засобу площа місця дорівнює площі вертикальної проекції цього засобу на уявну паралельну їй площину.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випадку розміщення спеціальних конструкцій зовнішньої реклами складної конструкції, розрахунок сплачуваної площі ведеться у межах описаного прямокутника (зовнішні габарити).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розрахунку площі рекламного носія плата за неповний квадратний метр береться як за повний.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користування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ісцями для розміщення транспарантів-перетяжок, що встановлюються над проїжджою частиною вулиць та шляхів, а також інших видів тимчасових спеціальних конструкцій, що розміщуються терміном до одного місяця, плата стягується з розрахунку, як за повний місяць.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 ради може щорічно переглядати тарифи на розміщення рекламних засобів у зв’язку з розвитком рекламного ринку у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із Законом України «Про засади державної регуляторної політики у сфері господарської діяльності».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Розрахункові тарифи не враховують податок на додану вартість (20%), які мають бути обчислені додатково, відповідно до чинного законодавства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Розповсюджувач зовнішньої реклами не звільняється від плати за право тимчасового використання місця для розташування об’єктів зовнішньої реклами за відсутності рекламних конструкцій.</w:t>
      </w:r>
      <w:r/>
    </w:p>
    <w:p>
      <w:pPr>
        <w:pStyle w:val="846"/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цьому випадку розмір плати визначається відповідно до пункту 1 Порядку визначення розміру плати за тимчасове користування місцем розташування рекламних засобів, що перебуває у комунальній власності.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згідно з розрахунковими тарифами плати за тимчасове користування місцем розташування рекламних засобів, що перебуває у комунальній власності, які затверджуються виконавчим органом ради, 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ідповідності з умовами договору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перераховується суб’єктами рекламної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розмірі 100% до міського бюджету.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Плата за право тимчасового використання місць для розташування об’єкту зовнішньої реклами перераховується розповсюджувачем зовнішньої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реклами до міського бюджету щомісячно, до 10 числа місяця наступного за звітним.</w:t>
      </w:r>
      <w:r/>
    </w:p>
    <w:p>
      <w:pPr>
        <w:pStyle w:val="846"/>
        <w:numPr>
          <w:ilvl w:val="0"/>
          <w:numId w:val="2"/>
        </w:numPr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Плата, перерахована несвоєчасно або не в повному обсязі, підлягає індексації відповідно до законодавства України.</w:t>
      </w:r>
      <w:r/>
    </w:p>
    <w:p>
      <w:pPr>
        <w:pStyle w:val="846"/>
        <w:ind w:left="0" w:firstLine="567"/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Табл. 1</w:t>
      </w:r>
      <w:r/>
    </w:p>
    <w:tbl>
      <w:tblPr>
        <w:tblStyle w:val="85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803"/>
        <w:gridCol w:w="1134"/>
        <w:gridCol w:w="1243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№ п/</w:t>
            </w: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п</w:t>
            </w:r>
            <w:r>
              <w:rPr>
                <w:sz w:val="18"/>
              </w:rPr>
            </w:r>
            <w:r/>
          </w:p>
        </w:tc>
        <w:tc>
          <w:tcPr>
            <w:tcW w:w="6803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Вид спеціальної конструкції </w:t>
            </w:r>
            <w:r>
              <w:rPr>
                <w:sz w:val="18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Одиниця виміру</w:t>
            </w:r>
            <w:r>
              <w:rPr>
                <w:sz w:val="18"/>
              </w:rPr>
            </w:r>
            <w:r/>
          </w:p>
        </w:tc>
        <w:tc>
          <w:tcPr>
            <w:tcW w:w="1243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Місячна</w:t>
            </w: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 плата, </w:t>
            </w: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грн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Щит (спеціальна наземна конструкція), що стоїть окремо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Щит (спеціальна конструкція) на фасаді або торці будинку (будівлі)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Щит на тимчасовій споруді, паркані, буд майданчиках, стовпах, опорах, колонах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Лайтпостер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стоїть окремо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Лайтпостер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стовпах, опорах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Лайтпостер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є складовою частини павільйону очікування громадського транспорту, кіоску, фасаду або торця будинку (будівлі)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Банер, панно,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фасаді або торці будинку (будівлі) на паркані, на захисній будівельній сітці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Конструкція розміщена на кронштейнах</w:t>
            </w:r>
            <w:r/>
          </w:p>
          <w:p>
            <w:pPr>
              <w:pStyle w:val="846"/>
              <w:numPr>
                <w:ilvl w:val="0"/>
                <w:numId w:val="3"/>
              </w:numPr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фасаді або торці будинку (будівлі)</w:t>
            </w:r>
            <w:r/>
          </w:p>
          <w:p>
            <w:pPr>
              <w:pStyle w:val="846"/>
              <w:numPr>
                <w:ilvl w:val="0"/>
                <w:numId w:val="3"/>
              </w:numPr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стовпах, опорах, колонах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Тумба, об’ємно-просторова конструкція, інформаційно-цінові покажчики, що стоять окремо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Електронне табло, «рядок, що біжить»,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екрани, світова газета,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лайт-бокс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розташовані на стовпах, опорах, на фасаді та торці будинку (будівлі), або є складовою частиною фасаду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</w:tbl>
    <w:tbl>
      <w:tblPr>
        <w:tblStyle w:val="85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803"/>
        <w:gridCol w:w="1134"/>
        <w:gridCol w:w="1243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Світлові художньо-просторові рекламні композиції (неон, світловий шнур)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Конструкції на даху будинку (будівлі), споруди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Рекламна вивіска, напис на будинку (будівлі), споруді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Пневмостенд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повітряна куля, які використовуються як рекламоносії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За одиницю</w:t>
            </w:r>
            <w:r>
              <w:rPr>
                <w:sz w:val="18"/>
              </w:rPr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Транспаранти-перетяжки,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троли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</w:r>
            <w:r>
              <w:rPr>
                <w:sz w:val="18"/>
              </w:rPr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Телефонні кабіни, урни, інші об’єкти зовнішнього благоустрою, які використовуються як рекламо носії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За одиницю</w:t>
            </w:r>
            <w:r>
              <w:rPr>
                <w:sz w:val="18"/>
              </w:rPr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Прапор, парасоля, намет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використовуються як рекламо носії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За одиницю</w:t>
            </w:r>
            <w:r>
              <w:rPr>
                <w:sz w:val="18"/>
              </w:rPr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Аудіо-рекламна акція з використанням міського середовища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За одиницю</w:t>
            </w:r>
            <w:r>
              <w:rPr>
                <w:sz w:val="18"/>
              </w:rPr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Рекламні акції з демонстрацією зразків продукції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За одиницю</w:t>
            </w:r>
            <w:r>
              <w:rPr>
                <w:sz w:val="18"/>
              </w:rPr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Тимчасова виносна спеціальна конструкція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За одиницю</w:t>
            </w:r>
            <w:r>
              <w:rPr>
                <w:sz w:val="18"/>
              </w:rPr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Концертна, театральна, гастрольна зовнішня рекламна та реклама виставок товарів та послуг і тому подібне</w:t>
            </w:r>
            <w:r/>
          </w:p>
          <w:p>
            <w:pPr>
              <w:pStyle w:val="846"/>
              <w:numPr>
                <w:ilvl w:val="0"/>
                <w:numId w:val="3"/>
              </w:numPr>
              <w:ind w:left="34" w:firstLine="326"/>
              <w:jc w:val="both"/>
              <w:tabs>
                <w:tab w:val="left" w:pos="604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щитова, банери, перетяжки на фасаді будинків (будівель), на опорах, стовпах, парканах</w:t>
            </w:r>
            <w:r/>
          </w:p>
          <w:p>
            <w:pPr>
              <w:pStyle w:val="846"/>
              <w:numPr>
                <w:ilvl w:val="0"/>
                <w:numId w:val="3"/>
              </w:numPr>
              <w:ind w:left="34" w:firstLine="326"/>
              <w:jc w:val="both"/>
              <w:tabs>
                <w:tab w:val="left" w:pos="604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афіші</w:t>
            </w:r>
            <w:r/>
          </w:p>
          <w:p>
            <w:pPr>
              <w:pStyle w:val="846"/>
              <w:numPr>
                <w:ilvl w:val="0"/>
                <w:numId w:val="3"/>
              </w:numPr>
              <w:ind w:left="34" w:firstLine="326"/>
              <w:jc w:val="both"/>
              <w:tabs>
                <w:tab w:val="left" w:pos="604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об’яви та оголошення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За одиницю</w:t>
            </w:r>
            <w:r>
              <w:rPr>
                <w:sz w:val="18"/>
              </w:rPr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uk-UA"/>
              </w:rPr>
              <w:t xml:space="preserve">За одиницю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r/>
          </w:p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Графічна (лазерна) проекційна установка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одиницю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1250</w:t>
            </w:r>
            <w:r/>
          </w:p>
        </w:tc>
      </w:tr>
    </w:tbl>
    <w:p>
      <w:pPr>
        <w:pStyle w:val="846"/>
        <w:ind w:left="0" w:firstLine="567"/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Табл. 2</w:t>
      </w:r>
      <w:r/>
    </w:p>
    <w:tbl>
      <w:tblPr>
        <w:tblStyle w:val="85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37"/>
        <w:gridCol w:w="1243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0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№ п/</w:t>
            </w: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п</w:t>
            </w:r>
            <w:r>
              <w:rPr>
                <w:sz w:val="16"/>
              </w:rPr>
            </w:r>
            <w:r/>
          </w:p>
        </w:tc>
        <w:tc>
          <w:tcPr>
            <w:tcW w:w="7937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0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Зміст </w:t>
            </w: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коригуючих</w:t>
            </w: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 обставин</w:t>
            </w:r>
            <w:r>
              <w:rPr>
                <w:sz w:val="16"/>
              </w:rPr>
            </w:r>
            <w:r/>
          </w:p>
        </w:tc>
        <w:tc>
          <w:tcPr>
            <w:tcBorders>
              <w:bottom w:val="single" w:sz="4" w:space="0" w:color="auto"/>
            </w:tcBorders>
            <w:tcW w:w="1243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0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Коефіцієнт</w:t>
            </w:r>
            <w:r>
              <w:rPr>
                <w:sz w:val="16"/>
              </w:rPr>
            </w:r>
            <w:r/>
          </w:p>
        </w:tc>
      </w:tr>
      <w:tr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/>
          </w:p>
        </w:tc>
        <w:tc>
          <w:tcPr>
            <w:tcBorders>
              <w:bottom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залежності від місць розташування:</w:t>
            </w:r>
            <w:r/>
          </w:p>
        </w:tc>
        <w:tc>
          <w:tcPr>
            <w:tcBorders>
              <w:bottom w:val="none" w:color="000000" w:sz="4" w:space="0"/>
            </w:tcBorders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1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вулиці, чере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які пролягає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національн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 авто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мобільна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 доро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га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 загального користування державного значення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 Н-27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Чернігів-Мена-Сосниця-Грем’яч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1,5</w:t>
            </w:r>
            <w:r/>
          </w:p>
        </w:tc>
      </w:tr>
      <w:tr>
        <w:trPr/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2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території вулиць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пролягає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територіальн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і авто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мобільні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дороги загального користування державного значення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 Т-25-34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auto"/>
                <w:lang w:val="uk-UA"/>
              </w:rPr>
              <w:t xml:space="preserve"> та Т-25-36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1,2</w:t>
            </w:r>
            <w:r/>
          </w:p>
        </w:tc>
      </w:tr>
      <w:tr>
        <w:trPr/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3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території вулиць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не увійшли до зон 1 та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місті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</w:t>
            </w:r>
            <w:r/>
          </w:p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4 - території вулиць, що не увійшли до зон 1 та 2 в сільських/селищних населених пунктах</w:t>
            </w:r>
            <w:r/>
          </w:p>
        </w:tc>
        <w:tc>
          <w:tcPr>
            <w:tcBorders>
              <w:top w:val="none" w:color="000000" w:sz="4" w:space="0"/>
            </w:tcBorders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1,0</w:t>
            </w:r>
            <w:r/>
          </w:p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/>
          </w:p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0,8</w:t>
            </w:r>
            <w:r/>
          </w:p>
        </w:tc>
      </w:tr>
    </w:tbl>
    <w:tbl>
      <w:tblPr>
        <w:tblStyle w:val="85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37"/>
        <w:gridCol w:w="1243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tabs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/>
          </w:p>
        </w:tc>
        <w:tc>
          <w:tcPr>
            <w:tcW w:w="7937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неосвітлених засобів зовнішньої реклами до пунктів 1,2,3,8,9,12,13 таблиці 1</w:t>
            </w:r>
            <w:r/>
          </w:p>
        </w:tc>
        <w:tc>
          <w:tcPr>
            <w:tcW w:w="1243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1,5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</w:t>
            </w:r>
            <w:r/>
          </w:p>
        </w:tc>
        <w:tc>
          <w:tcPr>
            <w:tcW w:w="7937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соціальної реклами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0,5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/>
          </w:p>
        </w:tc>
        <w:tc>
          <w:tcPr>
            <w:tcW w:w="7937" w:type="dxa"/>
            <w:textDirection w:val="lrTb"/>
            <w:noWrap w:val="false"/>
          </w:tcPr>
          <w:p>
            <w:pPr>
              <w:pStyle w:val="846"/>
              <w:ind w:left="0"/>
              <w:jc w:val="both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рекламної продукції місцевого виробника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pPr>
              <w:pStyle w:val="846"/>
              <w:ind w:left="0"/>
              <w:jc w:val="center"/>
              <w:tabs>
                <w:tab w:val="left" w:pos="993" w:leader="none"/>
                <w:tab w:val="left" w:pos="7088" w:leader="none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0,7</w:t>
            </w:r>
            <w:r/>
          </w:p>
        </w:tc>
      </w:tr>
    </w:tbl>
    <w:p>
      <w:pPr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спеціаліст, в.о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архітектури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Андрій ЮЩЕНКО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701" w:header="56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01919442"/>
      <w:docPartObj>
        <w:docPartGallery w:val="Page Numbers (Top of Page)"/>
        <w:docPartUnique w:val="true"/>
      </w:docPartObj>
      <w:rPr/>
    </w:sdtPr>
    <w:sdtContent>
      <w:p>
        <w:pPr>
          <w:pStyle w:val="849"/>
          <w:ind w:firstLine="4678"/>
          <w:tabs>
            <w:tab w:val="clear" w:pos="4677" w:leader="none"/>
            <w:tab w:val="left" w:pos="4678" w:leader="none"/>
            <w:tab w:val="left" w:pos="7088" w:leader="none"/>
          </w:tabs>
        </w:pPr>
        <w:r>
          <w:fldChar w:fldCharType="begin"/>
        </w:r>
        <w:r>
          <w:instrText xml:space="preserve">PAGE   \* MERGEFORMAT</w:instrText>
        </w:r>
        <w:r>
          <w:rPr>
            <w:i/>
            <w:sz w:val="24"/>
          </w:rPr>
          <w:fldChar w:fldCharType="separate"/>
        </w:r>
        <w:r>
          <w:rPr>
            <w:i/>
            <w:sz w:val="24"/>
          </w:rPr>
          <w:t xml:space="preserve">4</w:t>
        </w:r>
        <w:r>
          <w:rPr>
            <w:i/>
            <w:sz w:val="24"/>
          </w:rPr>
          <w:fldChar w:fldCharType="end"/>
        </w:r>
        <w:r>
          <w:rPr>
            <w:i/>
            <w:sz w:val="24"/>
            <w:lang w:val="uk-UA"/>
          </w:rPr>
          <w:t xml:space="preserve"> </w:t>
        </w:r>
        <w:r>
          <w:rPr>
            <w:i/>
            <w:sz w:val="24"/>
            <w:lang w:val="uk-UA"/>
          </w:rPr>
          <w:tab/>
        </w:r>
        <w:r>
          <w:rPr>
            <w:rFonts w:ascii="Times New Roman" w:hAnsi="Times New Roman" w:cs="Times New Roman"/>
            <w:i/>
            <w:sz w:val="24"/>
            <w:szCs w:val="24"/>
            <w:lang w:val="uk-UA"/>
          </w:rPr>
          <w:t xml:space="preserve">Про</w:t>
        </w:r>
        <w:r>
          <w:rPr>
            <w:rFonts w:ascii="Times New Roman" w:hAnsi="Times New Roman" w:cs="Times New Roman"/>
            <w:i/>
            <w:sz w:val="24"/>
            <w:szCs w:val="24"/>
            <w:lang w:val="uk-UA"/>
          </w:rPr>
          <w:t xml:space="preserve">довження додатка</w:t>
        </w:r>
        <w:r/>
      </w:p>
    </w:sdtContent>
  </w:sdt>
  <w:p>
    <w:pPr>
      <w:pStyle w:val="8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1"/>
    <w:next w:val="841"/>
    <w:link w:val="66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9">
    <w:name w:val="Heading 1 Char"/>
    <w:basedOn w:val="843"/>
    <w:link w:val="668"/>
    <w:uiPriority w:val="9"/>
    <w:rPr>
      <w:rFonts w:ascii="Arial" w:hAnsi="Arial" w:cs="Arial" w:eastAsia="Arial"/>
      <w:sz w:val="40"/>
      <w:szCs w:val="40"/>
    </w:rPr>
  </w:style>
  <w:style w:type="paragraph" w:styleId="670">
    <w:name w:val="Heading 2"/>
    <w:basedOn w:val="841"/>
    <w:next w:val="841"/>
    <w:link w:val="6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1">
    <w:name w:val="Heading 2 Char"/>
    <w:basedOn w:val="843"/>
    <w:link w:val="670"/>
    <w:uiPriority w:val="9"/>
    <w:rPr>
      <w:rFonts w:ascii="Arial" w:hAnsi="Arial" w:cs="Arial" w:eastAsia="Arial"/>
      <w:sz w:val="34"/>
    </w:rPr>
  </w:style>
  <w:style w:type="character" w:styleId="672">
    <w:name w:val="Heading 3 Char"/>
    <w:basedOn w:val="843"/>
    <w:link w:val="842"/>
    <w:uiPriority w:val="9"/>
    <w:rPr>
      <w:rFonts w:ascii="Arial" w:hAnsi="Arial" w:cs="Arial" w:eastAsia="Arial"/>
      <w:sz w:val="30"/>
      <w:szCs w:val="30"/>
    </w:rPr>
  </w:style>
  <w:style w:type="paragraph" w:styleId="673">
    <w:name w:val="Heading 4"/>
    <w:basedOn w:val="841"/>
    <w:next w:val="841"/>
    <w:link w:val="67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4">
    <w:name w:val="Heading 4 Char"/>
    <w:basedOn w:val="843"/>
    <w:link w:val="673"/>
    <w:uiPriority w:val="9"/>
    <w:rPr>
      <w:rFonts w:ascii="Arial" w:hAnsi="Arial" w:cs="Arial" w:eastAsia="Arial"/>
      <w:b/>
      <w:bCs/>
      <w:sz w:val="26"/>
      <w:szCs w:val="26"/>
    </w:rPr>
  </w:style>
  <w:style w:type="paragraph" w:styleId="675">
    <w:name w:val="Heading 5"/>
    <w:basedOn w:val="841"/>
    <w:next w:val="841"/>
    <w:link w:val="67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6">
    <w:name w:val="Heading 5 Char"/>
    <w:basedOn w:val="843"/>
    <w:link w:val="675"/>
    <w:uiPriority w:val="9"/>
    <w:rPr>
      <w:rFonts w:ascii="Arial" w:hAnsi="Arial" w:cs="Arial" w:eastAsia="Arial"/>
      <w:b/>
      <w:bCs/>
      <w:sz w:val="24"/>
      <w:szCs w:val="24"/>
    </w:rPr>
  </w:style>
  <w:style w:type="paragraph" w:styleId="677">
    <w:name w:val="Heading 6"/>
    <w:basedOn w:val="841"/>
    <w:next w:val="841"/>
    <w:link w:val="67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8">
    <w:name w:val="Heading 6 Char"/>
    <w:basedOn w:val="843"/>
    <w:link w:val="677"/>
    <w:uiPriority w:val="9"/>
    <w:rPr>
      <w:rFonts w:ascii="Arial" w:hAnsi="Arial" w:cs="Arial" w:eastAsia="Arial"/>
      <w:b/>
      <w:bCs/>
      <w:sz w:val="22"/>
      <w:szCs w:val="22"/>
    </w:rPr>
  </w:style>
  <w:style w:type="paragraph" w:styleId="679">
    <w:name w:val="Heading 7"/>
    <w:basedOn w:val="841"/>
    <w:next w:val="841"/>
    <w:link w:val="68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0">
    <w:name w:val="Heading 7 Char"/>
    <w:basedOn w:val="843"/>
    <w:link w:val="67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1">
    <w:name w:val="Heading 8"/>
    <w:basedOn w:val="841"/>
    <w:next w:val="841"/>
    <w:link w:val="68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2">
    <w:name w:val="Heading 8 Char"/>
    <w:basedOn w:val="843"/>
    <w:link w:val="681"/>
    <w:uiPriority w:val="9"/>
    <w:rPr>
      <w:rFonts w:ascii="Arial" w:hAnsi="Arial" w:cs="Arial" w:eastAsia="Arial"/>
      <w:i/>
      <w:iCs/>
      <w:sz w:val="22"/>
      <w:szCs w:val="22"/>
    </w:rPr>
  </w:style>
  <w:style w:type="paragraph" w:styleId="683">
    <w:name w:val="Heading 9"/>
    <w:basedOn w:val="841"/>
    <w:next w:val="841"/>
    <w:link w:val="68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4">
    <w:name w:val="Heading 9 Char"/>
    <w:basedOn w:val="843"/>
    <w:link w:val="683"/>
    <w:uiPriority w:val="9"/>
    <w:rPr>
      <w:rFonts w:ascii="Arial" w:hAnsi="Arial" w:cs="Arial" w:eastAsia="Arial"/>
      <w:i/>
      <w:iCs/>
      <w:sz w:val="21"/>
      <w:szCs w:val="21"/>
    </w:rPr>
  </w:style>
  <w:style w:type="paragraph" w:styleId="685">
    <w:name w:val="No Spacing"/>
    <w:qFormat/>
    <w:uiPriority w:val="1"/>
    <w:pPr>
      <w:spacing w:lineRule="auto" w:line="240" w:after="0" w:before="0"/>
    </w:pPr>
  </w:style>
  <w:style w:type="paragraph" w:styleId="686">
    <w:name w:val="Title"/>
    <w:basedOn w:val="841"/>
    <w:next w:val="841"/>
    <w:link w:val="68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7">
    <w:name w:val="Title Char"/>
    <w:basedOn w:val="843"/>
    <w:link w:val="686"/>
    <w:uiPriority w:val="10"/>
    <w:rPr>
      <w:sz w:val="48"/>
      <w:szCs w:val="48"/>
    </w:rPr>
  </w:style>
  <w:style w:type="paragraph" w:styleId="688">
    <w:name w:val="Subtitle"/>
    <w:basedOn w:val="841"/>
    <w:next w:val="841"/>
    <w:link w:val="689"/>
    <w:qFormat/>
    <w:uiPriority w:val="11"/>
    <w:rPr>
      <w:sz w:val="24"/>
      <w:szCs w:val="24"/>
    </w:rPr>
    <w:pPr>
      <w:spacing w:after="200" w:before="200"/>
    </w:pPr>
  </w:style>
  <w:style w:type="character" w:styleId="689">
    <w:name w:val="Subtitle Char"/>
    <w:basedOn w:val="843"/>
    <w:link w:val="688"/>
    <w:uiPriority w:val="11"/>
    <w:rPr>
      <w:sz w:val="24"/>
      <w:szCs w:val="24"/>
    </w:rPr>
  </w:style>
  <w:style w:type="paragraph" w:styleId="690">
    <w:name w:val="Quote"/>
    <w:basedOn w:val="841"/>
    <w:next w:val="841"/>
    <w:link w:val="691"/>
    <w:qFormat/>
    <w:uiPriority w:val="29"/>
    <w:rPr>
      <w:i/>
    </w:rPr>
    <w:pPr>
      <w:ind w:left="720" w:right="720"/>
    </w:p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1"/>
    <w:next w:val="841"/>
    <w:link w:val="69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43"/>
    <w:link w:val="849"/>
    <w:uiPriority w:val="99"/>
  </w:style>
  <w:style w:type="character" w:styleId="695">
    <w:name w:val="Footer Char"/>
    <w:basedOn w:val="843"/>
    <w:link w:val="851"/>
    <w:uiPriority w:val="99"/>
  </w:style>
  <w:style w:type="paragraph" w:styleId="696">
    <w:name w:val="Caption"/>
    <w:basedOn w:val="841"/>
    <w:next w:val="84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7">
    <w:name w:val="Caption Char"/>
    <w:basedOn w:val="696"/>
    <w:link w:val="851"/>
    <w:uiPriority w:val="99"/>
  </w:style>
  <w:style w:type="table" w:styleId="698">
    <w:name w:val="Table Grid Light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4">
    <w:name w:val="Grid Table 1 Light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4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6">
    <w:name w:val="Grid Table 4 - Accent 1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7">
    <w:name w:val="Grid Table 4 - Accent 2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8">
    <w:name w:val="Grid Table 4 - Accent 3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9">
    <w:name w:val="Grid Table 4 - Accent 4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0">
    <w:name w:val="Grid Table 4 - Accent 5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1">
    <w:name w:val="Grid Table 4 - Accent 6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2">
    <w:name w:val="Grid Table 5 Dark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33">
    <w:name w:val="Grid Table 5 Dark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34">
    <w:name w:val="Grid Table 5 Dark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35">
    <w:name w:val="Grid Table 5 Dark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36">
    <w:name w:val="Grid Table 5 Dark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9">
    <w:name w:val="Grid Table 6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7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1">
    <w:name w:val="List Table 2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2">
    <w:name w:val="List Table 2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3">
    <w:name w:val="List Table 2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4">
    <w:name w:val="List Table 2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5">
    <w:name w:val="List Table 2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6">
    <w:name w:val="List Table 2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7">
    <w:name w:val="List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9">
    <w:name w:val="List Table 6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0">
    <w:name w:val="List Table 6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1">
    <w:name w:val="List Table 6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2">
    <w:name w:val="List Table 6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3">
    <w:name w:val="List Table 6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4">
    <w:name w:val="List Table 6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5">
    <w:name w:val="List Table 7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3">
    <w:name w:val="Lined - Accent 1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4">
    <w:name w:val="Lined - Accent 2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5">
    <w:name w:val="Lined - Accent 3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6">
    <w:name w:val="Lined - Accent 4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7">
    <w:name w:val="Lined - Accent 5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8">
    <w:name w:val="Lined - Accent 6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9">
    <w:name w:val="Bordered &amp; Lined - Accent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0">
    <w:name w:val="Bordered &amp; Lined - Accent 1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1">
    <w:name w:val="Bordered &amp; Lined - Accent 2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2">
    <w:name w:val="Bordered &amp; Lined - Accent 3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3">
    <w:name w:val="Bordered &amp; Lined - Accent 4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4">
    <w:name w:val="Bordered &amp; Lined - Accent 5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5">
    <w:name w:val="Bordered &amp; Lined - Accent 6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6">
    <w:name w:val="Bordered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7">
    <w:name w:val="Bordered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8">
    <w:name w:val="Bordered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9">
    <w:name w:val="Bordered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0">
    <w:name w:val="Bordered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1">
    <w:name w:val="Bordered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2">
    <w:name w:val="Bordered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rPr>
      <w:sz w:val="18"/>
    </w:rPr>
    <w:pPr>
      <w:spacing w:lineRule="auto" w:line="240" w:after="40"/>
    </w:p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3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rPr>
      <w:sz w:val="20"/>
    </w:rPr>
    <w:pPr>
      <w:spacing w:lineRule="auto" w:line="240" w:after="0"/>
    </w:p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3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paragraph" w:styleId="842">
    <w:name w:val="Heading 3"/>
    <w:basedOn w:val="841"/>
    <w:link w:val="847"/>
    <w:qFormat/>
    <w:uiPriority w:val="99"/>
    <w:semiHidden/>
    <w:unhideWhenUsed/>
    <w:rPr>
      <w:rFonts w:ascii="Times New Roman" w:hAnsi="Times New Roman" w:cs="Times New Roman" w:eastAsia="Times New Roman"/>
      <w:b/>
      <w:bCs/>
      <w:sz w:val="27"/>
      <w:szCs w:val="27"/>
      <w:lang w:eastAsia="ru-RU"/>
    </w:rPr>
    <w:pPr>
      <w:spacing w:lineRule="auto" w:line="240" w:after="100" w:afterAutospacing="1" w:before="100" w:beforeAutospacing="1"/>
      <w:outlineLvl w:val="2"/>
    </w:p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1"/>
    <w:qFormat/>
    <w:uiPriority w:val="34"/>
    <w:pPr>
      <w:contextualSpacing w:val="true"/>
      <w:ind w:left="720"/>
    </w:pPr>
  </w:style>
  <w:style w:type="character" w:styleId="847" w:customStyle="1">
    <w:name w:val="Заголовок 3 Знак"/>
    <w:basedOn w:val="843"/>
    <w:link w:val="842"/>
    <w:uiPriority w:val="99"/>
    <w:semiHidden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paragraph" w:styleId="848">
    <w:name w:val="Normal (Web)"/>
    <w:basedOn w:val="841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49">
    <w:name w:val="Header"/>
    <w:basedOn w:val="841"/>
    <w:link w:val="85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843"/>
    <w:link w:val="849"/>
    <w:uiPriority w:val="99"/>
  </w:style>
  <w:style w:type="paragraph" w:styleId="851">
    <w:name w:val="Footer"/>
    <w:basedOn w:val="841"/>
    <w:link w:val="85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843"/>
    <w:link w:val="851"/>
    <w:uiPriority w:val="99"/>
  </w:style>
  <w:style w:type="table" w:styleId="853">
    <w:name w:val="Table Grid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Anonymous</cp:lastModifiedBy>
  <cp:revision>15</cp:revision>
  <dcterms:created xsi:type="dcterms:W3CDTF">2021-11-09T08:01:00Z</dcterms:created>
  <dcterms:modified xsi:type="dcterms:W3CDTF">2021-11-30T13:04:24Z</dcterms:modified>
</cp:coreProperties>
</file>